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5F4A93E3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/2025/CSK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3D2C67">
        <w:rPr>
          <w:rFonts w:ascii="Calibri Light" w:hAnsi="Calibri Light" w:cs="Arial"/>
        </w:rPr>
        <w:t>15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09A2C828" w14:textId="70935FEB" w:rsidR="003D2C67" w:rsidRPr="003D2C67" w:rsidRDefault="009C2F40" w:rsidP="003D2C67">
      <w:pPr>
        <w:tabs>
          <w:tab w:val="left" w:pos="360"/>
        </w:tabs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3D2C67">
        <w:rPr>
          <w:rFonts w:ascii="Calibri Light" w:hAnsi="Calibri Light" w:cs="Calibri Light"/>
        </w:rPr>
        <w:t xml:space="preserve"> </w:t>
      </w:r>
      <w:r w:rsidR="003D2C67" w:rsidRPr="003D2C67">
        <w:rPr>
          <w:rFonts w:ascii="Calibri Light" w:hAnsi="Calibri Light" w:cs="Calibri Light"/>
        </w:rPr>
        <w:t xml:space="preserve">udzielanie wysokospecjalistycznych świadczeń zdrowotnych przez lekarzy specjalistów z anestezjologii i intensywnej terapii w II Klinice Anestezjologii i Intensywnej Terapii okresie od </w:t>
      </w:r>
      <w:r w:rsidR="003D2C67">
        <w:rPr>
          <w:rFonts w:ascii="Calibri Light" w:hAnsi="Calibri Light" w:cs="Calibri Light"/>
        </w:rPr>
        <w:t>01</w:t>
      </w:r>
      <w:r w:rsidR="003D2C67" w:rsidRPr="003D2C67">
        <w:rPr>
          <w:rFonts w:ascii="Calibri Light" w:hAnsi="Calibri Light" w:cs="Calibri Light"/>
        </w:rPr>
        <w:t>.</w:t>
      </w:r>
      <w:r w:rsidR="003D2C67">
        <w:rPr>
          <w:rFonts w:ascii="Calibri Light" w:hAnsi="Calibri Light" w:cs="Calibri Light"/>
        </w:rPr>
        <w:t>02</w:t>
      </w:r>
      <w:r w:rsidR="003D2C67" w:rsidRPr="003D2C67">
        <w:rPr>
          <w:rFonts w:ascii="Calibri Light" w:hAnsi="Calibri Light" w:cs="Calibri Light"/>
        </w:rPr>
        <w:t>.202</w:t>
      </w:r>
      <w:r w:rsidR="003D2C67">
        <w:rPr>
          <w:rFonts w:ascii="Calibri Light" w:hAnsi="Calibri Light" w:cs="Calibri Light"/>
        </w:rPr>
        <w:t>6</w:t>
      </w:r>
      <w:r w:rsidR="003D2C67" w:rsidRPr="003D2C67">
        <w:rPr>
          <w:rFonts w:ascii="Calibri Light" w:hAnsi="Calibri Light" w:cs="Calibri Light"/>
        </w:rPr>
        <w:t xml:space="preserve"> r. do 31.12.2026 w zakresie w szczególności :</w:t>
      </w:r>
    </w:p>
    <w:p w14:paraId="44E55031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before="0" w:beforeAutospacing="0" w:after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anestezjologii i intensywnej terapii, tj. wykonywania znieczulania ogólnego i przewodowego do zabiegów operacyjnych oraz dla celów diagnostycznych lub leczniczych;</w:t>
      </w:r>
    </w:p>
    <w:p w14:paraId="2C424157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reanimacji i udzielania świadczeń medycznych pacjentom będącym w stanie bezpośredniego zagrożenia życia;</w:t>
      </w:r>
    </w:p>
    <w:p w14:paraId="04D182C5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leczenia bólu ostrego;</w:t>
      </w:r>
    </w:p>
    <w:p w14:paraId="74928313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udzielania konsultacji z zakresu anestezjologii i intensywnej terapii;</w:t>
      </w:r>
    </w:p>
    <w:p w14:paraId="33BB62FE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intensywnej terapii – leczenia i opieki nad chorymi w Oddziale Intensywnej Terapii i Oddziale Pooperacyjnym;</w:t>
      </w:r>
    </w:p>
    <w:p w14:paraId="36D1841D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prowadzenia racjonalnej i oszczędnej gospodarki sprzętem, aparaturą i innymi środkami wykorzystywanymi do udzielania wyżej wymienionych świadczeń, zgodnie z przyjętymi w II Klinice Anestezjologii i Intensywnej Terapii standardami; </w:t>
      </w:r>
    </w:p>
    <w:p w14:paraId="1EC61E36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nadzorowania pracy lekarzy bez specjalizacji;</w:t>
      </w:r>
    </w:p>
    <w:p w14:paraId="3181B0A5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pełnienia dyżurów medycznych w systemie całodobowym według harmonogramu;</w:t>
      </w:r>
    </w:p>
    <w:p w14:paraId="5762782A" w14:textId="77777777" w:rsidR="003D2C67" w:rsidRPr="003D2C67" w:rsidRDefault="003D2C67" w:rsidP="003D2C67">
      <w:pPr>
        <w:pStyle w:val="NormalnyWeb"/>
        <w:numPr>
          <w:ilvl w:val="0"/>
          <w:numId w:val="37"/>
        </w:numPr>
        <w:spacing w:after="100" w:afterAutospacing="1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3D2C67">
        <w:rPr>
          <w:rFonts w:ascii="Calibri Light" w:eastAsia="Calibri" w:hAnsi="Calibri Light" w:cs="Calibri Light"/>
          <w:sz w:val="22"/>
          <w:szCs w:val="22"/>
          <w:lang w:eastAsia="en-US"/>
        </w:rPr>
        <w:t>udziału w wysokospecjalistycznych procedurach transplantacyjnych: przeszczepienie nerki, przeszczepienia nerki i trzustki, wątroby, a w szczególności:</w:t>
      </w:r>
    </w:p>
    <w:p w14:paraId="77A8D55F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identyfikacja dawcy zmarłego;</w:t>
      </w:r>
    </w:p>
    <w:p w14:paraId="230E8FDB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stwierdzanie śmierci mózgu;</w:t>
      </w:r>
    </w:p>
    <w:p w14:paraId="00B17F3B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opieka nad dawcą od stwierdzenia śmierci mózgu lub zgonu wskutek nieodwracalnego zatrzymania krążenia do pobrania narządu lub narządów;</w:t>
      </w:r>
    </w:p>
    <w:p w14:paraId="346AB687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zabieg pobrania narządu lub narządów od dawcy zmarłego;</w:t>
      </w:r>
    </w:p>
    <w:p w14:paraId="7CE92671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 xml:space="preserve">znieczulenie do przeszczepienia nerki od dawcy zmarłego; </w:t>
      </w:r>
    </w:p>
    <w:p w14:paraId="1774BABF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do przeszczepienia nerki i trzustki od dawcy zmarłego;</w:t>
      </w:r>
    </w:p>
    <w:p w14:paraId="742CECA7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do przeszczepienia trzustki;</w:t>
      </w:r>
    </w:p>
    <w:p w14:paraId="7A7FB681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 xml:space="preserve">znieczulenie do przeszczepienia nerki z odprowadzeniem moczu sp. </w:t>
      </w:r>
      <w:proofErr w:type="spellStart"/>
      <w:r w:rsidRPr="003D2C67">
        <w:rPr>
          <w:rFonts w:ascii="Calibri Light" w:hAnsi="Calibri Light" w:cs="Calibri Light"/>
        </w:rPr>
        <w:t>Brickera</w:t>
      </w:r>
      <w:proofErr w:type="spellEnd"/>
      <w:r w:rsidRPr="003D2C67">
        <w:rPr>
          <w:rFonts w:ascii="Calibri Light" w:hAnsi="Calibri Light" w:cs="Calibri Light"/>
        </w:rPr>
        <w:t>;</w:t>
      </w:r>
    </w:p>
    <w:p w14:paraId="10896C2D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do przeszczepienia nerki od dawcy żywego;</w:t>
      </w:r>
    </w:p>
    <w:p w14:paraId="0307B0D3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do przeszczepienia wątroby od dawcy zmarłego;</w:t>
      </w:r>
    </w:p>
    <w:p w14:paraId="59174426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 do pobrania wątroby od dawcy żywego;</w:t>
      </w:r>
    </w:p>
    <w:p w14:paraId="6C9E5A2B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znieczulenie do przeszczepienia wątroby od dawcy żywego.;</w:t>
      </w:r>
    </w:p>
    <w:p w14:paraId="11F617D7" w14:textId="77777777" w:rsidR="003D2C67" w:rsidRPr="003D2C67" w:rsidRDefault="003D2C67" w:rsidP="003D2C67">
      <w:pPr>
        <w:numPr>
          <w:ilvl w:val="1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lastRenderedPageBreak/>
        <w:t>znieczulenie do pobrania narządów od dawcy żywego;</w:t>
      </w:r>
    </w:p>
    <w:p w14:paraId="28FD3C18" w14:textId="77777777" w:rsidR="003D2C67" w:rsidRPr="003D2C67" w:rsidRDefault="003D2C67" w:rsidP="003D2C67">
      <w:pPr>
        <w:pStyle w:val="Akapitzlist"/>
        <w:numPr>
          <w:ilvl w:val="0"/>
          <w:numId w:val="37"/>
        </w:numPr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udzielanie świadczeń zdrowotnych w zakresie portów naczyniowych, tj.:</w:t>
      </w:r>
    </w:p>
    <w:p w14:paraId="15F725E9" w14:textId="77777777" w:rsidR="003D2C67" w:rsidRPr="003D2C67" w:rsidRDefault="003D2C67" w:rsidP="003D2C67">
      <w:pPr>
        <w:pStyle w:val="Akapitzlist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implantacja portu naczyniowego;</w:t>
      </w:r>
    </w:p>
    <w:p w14:paraId="4576102B" w14:textId="77777777" w:rsidR="003D2C67" w:rsidRPr="003D2C67" w:rsidRDefault="003D2C67" w:rsidP="003D2C67">
      <w:pPr>
        <w:pStyle w:val="Akapitzlist"/>
        <w:numPr>
          <w:ilvl w:val="0"/>
          <w:numId w:val="38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usuwanie portu naczyniowego.</w:t>
      </w:r>
    </w:p>
    <w:p w14:paraId="5D57281F" w14:textId="77777777" w:rsidR="003D2C67" w:rsidRPr="003D2C67" w:rsidRDefault="003D2C67" w:rsidP="003D2C67">
      <w:pPr>
        <w:jc w:val="both"/>
        <w:rPr>
          <w:rFonts w:ascii="Calibri Light" w:hAnsi="Calibri Light" w:cs="Calibri Light"/>
        </w:rPr>
      </w:pPr>
      <w:r w:rsidRPr="003D2C67">
        <w:rPr>
          <w:rFonts w:ascii="Calibri Light" w:hAnsi="Calibri Light" w:cs="Calibri Light"/>
        </w:rPr>
        <w:t>w II Klinice Anestezjologii i Intensywnej Terapii, w Oddziale Intensywnej Terapii i Oddziale Pooperacyjnym II Kliniki Anestezjologii i Intensywnej Terapii.</w:t>
      </w:r>
    </w:p>
    <w:p w14:paraId="73AB19AE" w14:textId="77777777" w:rsidR="003D2C67" w:rsidRPr="003D2C67" w:rsidRDefault="003D2C67" w:rsidP="003D2C67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została wybrana oferta:</w:t>
      </w:r>
    </w:p>
    <w:p w14:paraId="0605220C" w14:textId="77777777" w:rsidR="003D2C67" w:rsidRPr="003D2C67" w:rsidRDefault="003D2C67" w:rsidP="003D2C67">
      <w:pPr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 xml:space="preserve">„Maria Jolanta Zygmunt – Łyko Indywidualna Specjalistyczna Praktyka Lekarska w Miejscu Wezwania” – Maria Zygmunt 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AC45" w14:textId="77777777" w:rsidR="00D459B4" w:rsidRDefault="00D459B4">
      <w:pPr>
        <w:spacing w:line="240" w:lineRule="auto"/>
      </w:pPr>
      <w:r>
        <w:separator/>
      </w:r>
    </w:p>
  </w:endnote>
  <w:endnote w:type="continuationSeparator" w:id="0">
    <w:p w14:paraId="2B46B8CF" w14:textId="77777777" w:rsidR="00D459B4" w:rsidRDefault="00D4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F5E1" w14:textId="77777777" w:rsidR="00D459B4" w:rsidRDefault="00D459B4">
      <w:pPr>
        <w:spacing w:after="0"/>
      </w:pPr>
      <w:r>
        <w:separator/>
      </w:r>
    </w:p>
  </w:footnote>
  <w:footnote w:type="continuationSeparator" w:id="0">
    <w:p w14:paraId="79584FD8" w14:textId="77777777" w:rsidR="00D459B4" w:rsidRDefault="00D459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6"/>
  </w:num>
  <w:num w:numId="8" w16cid:durableId="689380172">
    <w:abstractNumId w:val="20"/>
  </w:num>
  <w:num w:numId="9" w16cid:durableId="611281092">
    <w:abstractNumId w:val="37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4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2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2026-01-16T10:24:00Z</cp:lastPrinted>
  <dcterms:created xsi:type="dcterms:W3CDTF">2026-01-16T10:24:00Z</dcterms:created>
  <dcterms:modified xsi:type="dcterms:W3CDTF">2026-01-16T10:24:00Z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